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26459301&amp;originatingDoc=I7c89d395910b11e0a34df17ea74c323f&amp;refType=RQ&amp;originationContext=document&amp;vr=3.0&amp;rs=cblt1.0&amp;transitionType=DocumentItem&amp;contextData=(sc.Search)"/>
  <Relationship Id="r8"
    Type="http://schemas.openxmlformats.org/officeDocument/2006/relationships/hyperlink"
    TargetMode="External"
    Target="http://www.westlaw.com/Browse/Home/KeyNumber/268/View.html?docGuid=I7c89d395910b11e0a34df17ea74c323f&amp;originationContext=document&amp;vr=3.0&amp;rs=cblt1.0&amp;transitionType=DocumentItem&amp;contextData=(sc.Search)"/>
  <Relationship Id="r9"
    Type="http://schemas.openxmlformats.org/officeDocument/2006/relationships/hyperlink"
    TargetMode="External"
    Target="http://www.westlaw.com/Browse/Home/KeyNumber/268k721(3)/View.html?docGuid=I7c89d395910b11e0a34df17ea74c323f&amp;originationContext=document&amp;vr=3.0&amp;rs=cblt1.0&amp;transitionType=DocumentItem&amp;contextData=(sc.Search)"/>
  <Relationship Id="r10"
    Type="http://schemas.openxmlformats.org/officeDocument/2006/relationships/hyperlink"
    TargetMode="External"
    Target="http://www.westlaw.com/Browse/Home/KeyNumber/268/View.html?docGuid=I7c89d395910b11e0a34df17ea74c323f&amp;originationContext=document&amp;vr=3.0&amp;rs=cblt1.0&amp;transitionType=DocumentItem&amp;contextData=(sc.Search)"/>
  <Relationship Id="r11"
    Type="http://schemas.openxmlformats.org/officeDocument/2006/relationships/hyperlink"
    TargetMode="External"
    Target="http://www.westlaw.com/Browse/Home/KeyNumber/268XI/View.html?docGuid=I7c89d395910b11e0a34df17ea74c323f&amp;originationContext=document&amp;vr=3.0&amp;rs=cblt1.0&amp;transitionType=DocumentItem&amp;contextData=(sc.Search)"/>
  <Relationship Id="r12"
    Type="http://schemas.openxmlformats.org/officeDocument/2006/relationships/hyperlink"
    TargetMode="External"
    Target="http://www.westlaw.com/Browse/Home/KeyNumber/268XI(C)/View.html?docGuid=I7c89d395910b11e0a34df17ea74c323f&amp;originationContext=document&amp;vr=3.0&amp;rs=cblt1.0&amp;transitionType=DocumentItem&amp;contextData=(sc.Search)"/>
  <Relationship Id="r13"
    Type="http://schemas.openxmlformats.org/officeDocument/2006/relationships/hyperlink"
    TargetMode="External"
    Target="http://www.westlaw.com/Browse/Home/KeyNumber/268k721/View.html?docGuid=I7c89d395910b11e0a34df17ea74c323f&amp;originationContext=document&amp;vr=3.0&amp;rs=cblt1.0&amp;transitionType=DocumentItem&amp;contextData=(sc.Search)"/>
  <Relationship Id="r14"
    Type="http://schemas.openxmlformats.org/officeDocument/2006/relationships/hyperlink"
    TargetMode="External"
    Target="http://www.westlaw.com/Browse/Home/KeyNumber/268k721(3)/View.html?docGuid=I7c89d395910b11e0a34df17ea74c323f&amp;originationContext=document&amp;vr=3.0&amp;rs=cblt1.0&amp;transitionType=DocumentItem&amp;contextData=(sc.Search)"/>
  <Relationship Id="r15"
    Type="http://schemas.openxmlformats.org/officeDocument/2006/relationships/hyperlink"
    TargetMode="External"
    Target="http://www.westlaw.com/Link/RelatedInformation/DocHeadnoteLink?docGuid=I7c89d395910b11e0a34df17ea74c323f&amp;headnoteId=202541231100120171128040821&amp;originationContext=document&amp;vr=3.0&amp;rs=cblt1.0&amp;transitionType=CitingReferences&amp;contextData=(sc.Search)"/>
  <Relationship Id="r16"
    Type="http://schemas.openxmlformats.org/officeDocument/2006/relationships/image"
    Target="images/2.png"/>
  <Relationship Id="r17"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18"
    Type="http://schemas.openxmlformats.org/officeDocument/2006/relationships/hyperlink"
    TargetMode="External"
    Target="http://www.westlaw.com/Browse/Home/KeyNumber/119k15/View.html?docGuid=I7c89d395910b11e0a34df17ea74c323f&amp;originationContext=document&amp;vr=3.0&amp;rs=cblt1.0&amp;transitionType=DocumentItem&amp;contextData=(sc.Search)"/>
  <Relationship Id="r19"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20"
    Type="http://schemas.openxmlformats.org/officeDocument/2006/relationships/hyperlink"
    TargetMode="External"
    Target="http://www.westlaw.com/Browse/Home/KeyNumber/119k16/View.html?docGuid=I7c89d395910b11e0a34df17ea74c323f&amp;originationContext=document&amp;vr=3.0&amp;rs=cblt1.0&amp;transitionType=DocumentItem&amp;contextData=(sc.Search)"/>
  <Relationship Id="r21"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22"
    Type="http://schemas.openxmlformats.org/officeDocument/2006/relationships/hyperlink"
    TargetMode="External"
    Target="http://www.westlaw.com/Browse/Home/KeyNumber/119k37/View.html?docGuid=I7c89d395910b11e0a34df17ea74c323f&amp;originationContext=document&amp;vr=3.0&amp;rs=cblt1.0&amp;transitionType=DocumentItem&amp;contextData=(sc.Search)"/>
  <Relationship Id="r23"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24"
    Type="http://schemas.openxmlformats.org/officeDocument/2006/relationships/hyperlink"
    TargetMode="External"
    Target="http://www.westlaw.com/Browse/Home/KeyNumber/119I/View.html?docGuid=I7c89d395910b11e0a34df17ea74c323f&amp;originationContext=document&amp;vr=3.0&amp;rs=cblt1.0&amp;transitionType=DocumentItem&amp;contextData=(sc.Search)"/>
  <Relationship Id="r25"
    Type="http://schemas.openxmlformats.org/officeDocument/2006/relationships/hyperlink"
    TargetMode="External"
    Target="http://www.westlaw.com/Browse/Home/KeyNumber/119k15/View.html?docGuid=I7c89d395910b11e0a34df17ea74c323f&amp;originationContext=document&amp;vr=3.0&amp;rs=cblt1.0&amp;transitionType=DocumentItem&amp;contextData=(sc.Search)"/>
  <Relationship Id="r26"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27"
    Type="http://schemas.openxmlformats.org/officeDocument/2006/relationships/hyperlink"
    TargetMode="External"
    Target="http://www.westlaw.com/Browse/Home/KeyNumber/119I/View.html?docGuid=I7c89d395910b11e0a34df17ea74c323f&amp;originationContext=document&amp;vr=3.0&amp;rs=cblt1.0&amp;transitionType=DocumentItem&amp;contextData=(sc.Search)"/>
  <Relationship Id="r28"
    Type="http://schemas.openxmlformats.org/officeDocument/2006/relationships/hyperlink"
    TargetMode="External"
    Target="http://www.westlaw.com/Browse/Home/KeyNumber/119k16/View.html?docGuid=I7c89d395910b11e0a34df17ea74c323f&amp;originationContext=document&amp;vr=3.0&amp;rs=cblt1.0&amp;transitionType=DocumentItem&amp;contextData=(sc.Search)"/>
  <Relationship Id="r29"
    Type="http://schemas.openxmlformats.org/officeDocument/2006/relationships/hyperlink"
    TargetMode="External"
    Target="http://www.westlaw.com/Browse/Home/KeyNumber/119k16.1/View.html?docGuid=I7c89d395910b11e0a34df17ea74c323f&amp;originationContext=document&amp;vr=3.0&amp;rs=cblt1.0&amp;transitionType=DocumentItem&amp;contextData=(sc.Search)"/>
  <Relationship Id="r30"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31"
    Type="http://schemas.openxmlformats.org/officeDocument/2006/relationships/hyperlink"
    TargetMode="External"
    Target="http://www.westlaw.com/Browse/Home/KeyNumber/119I/View.html?docGuid=I7c89d395910b11e0a34df17ea74c323f&amp;originationContext=document&amp;vr=3.0&amp;rs=cblt1.0&amp;transitionType=DocumentItem&amp;contextData=(sc.Search)"/>
  <Relationship Id="r32"
    Type="http://schemas.openxmlformats.org/officeDocument/2006/relationships/hyperlink"
    TargetMode="External"
    Target="http://www.westlaw.com/Browse/Home/KeyNumber/119k30/View.html?docGuid=I7c89d395910b11e0a34df17ea74c323f&amp;originationContext=document&amp;vr=3.0&amp;rs=cblt1.0&amp;transitionType=DocumentItem&amp;contextData=(sc.Search)"/>
  <Relationship Id="r33"
    Type="http://schemas.openxmlformats.org/officeDocument/2006/relationships/hyperlink"
    TargetMode="External"
    Target="http://www.westlaw.com/Browse/Home/KeyNumber/119k37/View.html?docGuid=I7c89d395910b11e0a34df17ea74c323f&amp;originationContext=document&amp;vr=3.0&amp;rs=cblt1.0&amp;transitionType=DocumentItem&amp;contextData=(sc.Search)"/>
  <Relationship Id="r34"
    Type="http://schemas.openxmlformats.org/officeDocument/2006/relationships/hyperlink"
    TargetMode="External"
    Target="http://www.westlaw.com/Link/RelatedInformation/DocHeadnoteLink?docGuid=I7c89d395910b11e0a34df17ea74c323f&amp;headnoteId=202541231100220171128040821&amp;originationContext=document&amp;vr=3.0&amp;rs=cblt1.0&amp;transitionType=CitingReferences&amp;contextData=(sc.Search)"/>
  <Relationship Id="r35"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36"
    Type="http://schemas.openxmlformats.org/officeDocument/2006/relationships/hyperlink"
    TargetMode="External"
    Target="http://www.westlaw.com/Browse/Home/KeyNumber/119k21/View.html?docGuid=I7c89d395910b11e0a34df17ea74c323f&amp;originationContext=document&amp;vr=3.0&amp;rs=cblt1.0&amp;transitionType=DocumentItem&amp;contextData=(sc.Search)"/>
  <Relationship Id="r37"
    Type="http://schemas.openxmlformats.org/officeDocument/2006/relationships/hyperlink"
    TargetMode="External"
    Target="http://www.westlaw.com/Browse/Home/KeyNumber/119/View.html?docGuid=I7c89d395910b11e0a34df17ea74c323f&amp;originationContext=document&amp;vr=3.0&amp;rs=cblt1.0&amp;transitionType=DocumentItem&amp;contextData=(sc.Search)"/>
  <Relationship Id="r38"
    Type="http://schemas.openxmlformats.org/officeDocument/2006/relationships/hyperlink"
    TargetMode="External"
    Target="http://www.westlaw.com/Browse/Home/KeyNumber/119I/View.html?docGuid=I7c89d395910b11e0a34df17ea74c323f&amp;originationContext=document&amp;vr=3.0&amp;rs=cblt1.0&amp;transitionType=DocumentItem&amp;contextData=(sc.Search)"/>
  <Relationship Id="r39"
    Type="http://schemas.openxmlformats.org/officeDocument/2006/relationships/hyperlink"
    TargetMode="External"
    Target="http://www.westlaw.com/Browse/Home/KeyNumber/119k21/View.html?docGuid=I7c89d395910b11e0a34df17ea74c323f&amp;originationContext=document&amp;vr=3.0&amp;rs=cblt1.0&amp;transitionType=DocumentItem&amp;contextData=(sc.Search)"/>
  <Relationship Id="r40"
    Type="http://schemas.openxmlformats.org/officeDocument/2006/relationships/hyperlink"
    TargetMode="External"
    Target="http://www.westlaw.com/Link/RelatedInformation/DocHeadnoteLink?docGuid=I7c89d395910b11e0a34df17ea74c323f&amp;headnoteId=202541231100320171128040821&amp;originationContext=document&amp;vr=3.0&amp;rs=cblt1.0&amp;transitionType=CitingReferences&amp;contextData=(sc.Search)"/>
  <Relationship Id="r41"
    Type="http://schemas.openxmlformats.org/officeDocument/2006/relationships/hyperlink"
    TargetMode="External"
    Target="http://www.westlaw.com/Browse/Home/KeyNumber/200/View.html?docGuid=I7c89d395910b11e0a34df17ea74c323f&amp;originationContext=document&amp;vr=3.0&amp;rs=cblt1.0&amp;transitionType=DocumentItem&amp;contextData=(sc.Search)"/>
  <Relationship Id="r42"
    Type="http://schemas.openxmlformats.org/officeDocument/2006/relationships/hyperlink"
    TargetMode="External"
    Target="http://www.westlaw.com/Browse/Home/KeyNumber/200k103.2/View.html?docGuid=I7c89d395910b11e0a34df17ea74c323f&amp;originationContext=document&amp;vr=3.0&amp;rs=cblt1.0&amp;transitionType=DocumentItem&amp;contextData=(sc.Search)"/>
  <Relationship Id="r43"
    Type="http://schemas.openxmlformats.org/officeDocument/2006/relationships/hyperlink"
    TargetMode="External"
    Target="http://www.westlaw.com/Browse/Home/KeyNumber/200/View.html?docGuid=I7c89d395910b11e0a34df17ea74c323f&amp;originationContext=document&amp;vr=3.0&amp;rs=cblt1.0&amp;transitionType=DocumentItem&amp;contextData=(sc.Search)"/>
  <Relationship Id="r44"
    Type="http://schemas.openxmlformats.org/officeDocument/2006/relationships/hyperlink"
    TargetMode="External"
    Target="http://www.westlaw.com/Browse/Home/KeyNumber/200VII/View.html?docGuid=I7c89d395910b11e0a34df17ea74c323f&amp;originationContext=document&amp;vr=3.0&amp;rs=cblt1.0&amp;transitionType=DocumentItem&amp;contextData=(sc.Search)"/>
  <Relationship Id="r45"
    Type="http://schemas.openxmlformats.org/officeDocument/2006/relationships/hyperlink"
    TargetMode="External"
    Target="http://www.westlaw.com/Browse/Home/KeyNumber/200k103/View.html?docGuid=I7c89d395910b11e0a34df17ea74c323f&amp;originationContext=document&amp;vr=3.0&amp;rs=cblt1.0&amp;transitionType=DocumentItem&amp;contextData=(sc.Search)"/>
  <Relationship Id="r46"
    Type="http://schemas.openxmlformats.org/officeDocument/2006/relationships/hyperlink"
    TargetMode="External"
    Target="http://www.westlaw.com/Browse/Home/KeyNumber/200k103.2/View.html?docGuid=I7c89d395910b11e0a34df17ea74c323f&amp;originationContext=document&amp;vr=3.0&amp;rs=cblt1.0&amp;transitionType=DocumentItem&amp;contextData=(sc.Search)"/>
  <Relationship Id="r47"
    Type="http://schemas.openxmlformats.org/officeDocument/2006/relationships/hyperlink"
    TargetMode="External"
    Target="http://www.westlaw.com/Browse/Home/KeyNumber/268/View.html?docGuid=I7c89d395910b11e0a34df17ea74c323f&amp;originationContext=document&amp;vr=3.0&amp;rs=cblt1.0&amp;transitionType=DocumentItem&amp;contextData=(sc.Search)"/>
  <Relationship Id="r48"
    Type="http://schemas.openxmlformats.org/officeDocument/2006/relationships/hyperlink"
    TargetMode="External"
    Target="http://www.westlaw.com/Browse/Home/KeyNumber/268k721(3)/View.html?docGuid=I7c89d395910b11e0a34df17ea74c323f&amp;originationContext=document&amp;vr=3.0&amp;rs=cblt1.0&amp;transitionType=DocumentItem&amp;contextData=(sc.Search)"/>
  <Relationship Id="r49"
    Type="http://schemas.openxmlformats.org/officeDocument/2006/relationships/hyperlink"
    TargetMode="External"
    Target="http://www.westlaw.com/Browse/Home/KeyNumber/268/View.html?docGuid=I7c89d395910b11e0a34df17ea74c323f&amp;originationContext=document&amp;vr=3.0&amp;rs=cblt1.0&amp;transitionType=DocumentItem&amp;contextData=(sc.Search)"/>
  <Relationship Id="r50"
    Type="http://schemas.openxmlformats.org/officeDocument/2006/relationships/hyperlink"
    TargetMode="External"
    Target="http://www.westlaw.com/Browse/Home/KeyNumber/268XI/View.html?docGuid=I7c89d395910b11e0a34df17ea74c323f&amp;originationContext=document&amp;vr=3.0&amp;rs=cblt1.0&amp;transitionType=DocumentItem&amp;contextData=(sc.Search)"/>
  <Relationship Id="r51"
    Type="http://schemas.openxmlformats.org/officeDocument/2006/relationships/hyperlink"
    TargetMode="External"
    Target="http://www.westlaw.com/Browse/Home/KeyNumber/268XI(C)/View.html?docGuid=I7c89d395910b11e0a34df17ea74c323f&amp;originationContext=document&amp;vr=3.0&amp;rs=cblt1.0&amp;transitionType=DocumentItem&amp;contextData=(sc.Search)"/>
  <Relationship Id="r52"
    Type="http://schemas.openxmlformats.org/officeDocument/2006/relationships/hyperlink"
    TargetMode="External"
    Target="http://www.westlaw.com/Browse/Home/KeyNumber/268k721/View.html?docGuid=I7c89d395910b11e0a34df17ea74c323f&amp;originationContext=document&amp;vr=3.0&amp;rs=cblt1.0&amp;transitionType=DocumentItem&amp;contextData=(sc.Search)"/>
  <Relationship Id="r53"
    Type="http://schemas.openxmlformats.org/officeDocument/2006/relationships/hyperlink"
    TargetMode="External"
    Target="http://www.westlaw.com/Browse/Home/KeyNumber/268k721(3)/View.html?docGuid=I7c89d395910b11e0a34df17ea74c323f&amp;originationContext=document&amp;vr=3.0&amp;rs=cblt1.0&amp;transitionType=DocumentItem&amp;contextData=(sc.Search)"/>
  <Relationship Id="r54"
    Type="http://schemas.openxmlformats.org/officeDocument/2006/relationships/hyperlink"
    TargetMode="External"
    Target="http://www.westlaw.com/Link/RelatedInformation/DocHeadnoteLink?docGuid=I7c89d395910b11e0a34df17ea74c323f&amp;headnoteId=202541231100520171128040821&amp;originationContext=document&amp;vr=3.0&amp;rs=cblt1.0&amp;transitionType=CitingReferences&amp;contextData=(sc.Search)"/>
  <Relationship Id="r55"
    Type="http://schemas.openxmlformats.org/officeDocument/2006/relationships/hyperlink"
    TargetMode="External"
    Target="http://www.westlaw.com/Link/Document/FullText?findType=h&amp;pubNum=176284&amp;cite=0214412901&amp;originatingDoc=I7c89d395910b11e0a34df17ea74c323f&amp;refType=RQ&amp;originationContext=document&amp;vr=3.0&amp;rs=cblt1.0&amp;transitionType=DocumentItem&amp;contextData=(sc.Search)"/>
  <Relationship Id="r56"
    Type="http://schemas.openxmlformats.org/officeDocument/2006/relationships/hyperlink"
    TargetMode="External"
    Target="http://www.westlaw.com/Link/Document/FullText?findType=h&amp;pubNum=176284&amp;cite=0344437601&amp;originatingDoc=I7c89d395910b11e0a34df17ea74c323f&amp;refType=RQ&amp;originationContext=document&amp;vr=3.0&amp;rs=cblt1.0&amp;transitionType=DocumentItem&amp;contextData=(sc.Search)"/>
  <Relationship Id="r57"
    Type="http://schemas.openxmlformats.org/officeDocument/2006/relationships/hyperlink"
    TargetMode="External"
    Target="http://www.westlaw.com/Link/Document/FullText?findType=h&amp;pubNum=176284&amp;cite=0214653001&amp;originatingDoc=I7c89d395910b11e0a34df17ea74c323f&amp;refType=RQ&amp;originationContext=document&amp;vr=3.0&amp;rs=cblt1.0&amp;transitionType=DocumentItem&amp;contextData=(sc.Search)"/>
  <Relationship Id="r58"
    Type="http://schemas.openxmlformats.org/officeDocument/2006/relationships/hyperlink"
    TargetMode="External"
    Target="http://www.westlaw.com/Link/Document/FullText?findType=h&amp;pubNum=176284&amp;cite=0213536601&amp;originatingDoc=I7c89d395910b11e0a34df17ea74c323f&amp;refType=RQ&amp;originationContext=document&amp;vr=3.0&amp;rs=cblt1.0&amp;transitionType=DocumentItem&amp;contextData=(sc.Search)"/>
  <Relationship Id="r59"
    Type="http://schemas.openxmlformats.org/officeDocument/2006/relationships/hyperlink"
    TargetMode="External"
    Target="http://www.westlaw.com/Link/Document/FullText?findType=h&amp;pubNum=176284&amp;cite=0131748501&amp;originatingDoc=I7c89d395910b11e0a34df17ea74c323f&amp;refType=RQ&amp;originationContext=document&amp;vr=3.0&amp;rs=cblt1.0&amp;transitionType=DocumentItem&amp;contextData=(sc.Search)"/>
  <Relationship Id="r60"
    Type="http://schemas.openxmlformats.org/officeDocument/2006/relationships/hyperlink"
    TargetMode="External"
    Target="http://www.westlaw.com/Link/Document/FullText?findType=h&amp;pubNum=176284&amp;cite=0131522301&amp;originatingDoc=I7c89d395910b11e0a34df17ea74c323f&amp;refType=RQ&amp;originationContext=document&amp;vr=3.0&amp;rs=cblt1.0&amp;transitionType=DocumentItem&amp;contextData=(sc.Search)"/>
  <Relationship Id="r61"
    Type="http://schemas.openxmlformats.org/officeDocument/2006/relationships/hyperlink"
    TargetMode="External"
    Target="http://www.westlaw.com/Link/Document/FullText?findType=h&amp;pubNum=176284&amp;cite=0198936601&amp;originatingDoc=I7c89d395910b11e0a34df17ea74c323f&amp;refType=RQ&amp;originationContext=document&amp;vr=3.0&amp;rs=cblt1.0&amp;transitionType=DocumentItem&amp;contextData=(sc.Search)"/>
  <Relationship Id="r62"
    Type="http://schemas.openxmlformats.org/officeDocument/2006/relationships/hyperlink"
    TargetMode="External"
    Target="http://www.westlaw.com/Link/Document/FullText?findType=h&amp;pubNum=176284&amp;cite=0191055801&amp;originatingDoc=I7c89d395910b11e0a34df17ea74c323f&amp;refType=RQ&amp;originationContext=document&amp;vr=3.0&amp;rs=cblt1.0&amp;transitionType=DocumentItem&amp;contextData=(sc.Search)"/>
  <Relationship Id="r63"
    Type="http://schemas.openxmlformats.org/officeDocument/2006/relationships/hyperlink"
    TargetMode="External"
    Target="https://1.next.westlaw.com/Link/RelatedInformation/Flag?documentGuid=Id4e3b2b0d97a11d99439b076ef9ec4de&amp;transitionType=InlineKeyCiteFlags&amp;originationContext=docHeaderFlag&amp;Rank=0&amp;ppcid=f26af4e52c8b4f6783a582aeca285244&amp;contextData=(sc.Search)"/>
  <Relationship Id="r64"
    Type="http://schemas.openxmlformats.org/officeDocument/2006/relationships/hyperlink"
    TargetMode="External"
    Target="http://www.westlaw.com/Link/Document/FullText?findType=Y&amp;serNum=2001140461&amp;pubNum=578&amp;originatingDoc=I7c89d395910b11e0a34df17ea74c323f&amp;refType=RP&amp;originationContext=document&amp;vr=3.0&amp;rs=cblt1.0&amp;transitionType=DocumentItem&amp;contextData=(sc.Search)"/>
  <Relationship Id="r65"
    Type="http://schemas.openxmlformats.org/officeDocument/2006/relationships/hyperlink"
    TargetMode="External"
    Target="https://1.next.westlaw.com/Link/RelatedInformation/Flag?documentGuid=I74823fa3d97e11d99439b076ef9ec4de&amp;transitionType=InlineKeyCiteFlags&amp;originationContext=docHeaderFlag&amp;Rank=0&amp;ppcid=f26af4e52c8b4f6783a582aeca285244&amp;contextData=(sc.Search)"/>
  <Relationship Id="r66"
    Type="http://schemas.openxmlformats.org/officeDocument/2006/relationships/hyperlink"
    TargetMode="External"
    Target="http://www.westlaw.com/Link/Document/FullText?findType=Y&amp;serNum=2001533093&amp;pubNum=602&amp;originatingDoc=I7c89d395910b11e0a34df17ea74c323f&amp;refType=RP&amp;originationContext=document&amp;vr=3.0&amp;rs=cblt1.0&amp;transitionType=DocumentItem&amp;contextData=(sc.Search)"/>
  <Relationship Id="r67"
    Type="http://schemas.openxmlformats.org/officeDocument/2006/relationships/hyperlink"
    TargetMode="External"
    Target="http://www.westlaw.com/Link/Document/FullText?findType=Y&amp;serNum=2002300154&amp;pubNum=578&amp;originatingDoc=I7c89d395910b11e0a34df17ea74c323f&amp;refType=RP&amp;originationContext=document&amp;vr=3.0&amp;rs=cblt1.0&amp;transitionType=DocumentItem&amp;contextData=(sc.Search)"/>
  <Relationship Id="r68"
    Type="http://schemas.openxmlformats.org/officeDocument/2006/relationships/hyperlink"
    TargetMode="External"
    Target="http://www.westlaw.com/Link/Document/FullText?findType=Y&amp;serNum=1993062141&amp;pubNum=602&amp;originatingDoc=I7c89d395910b11e0a34df17ea74c323f&amp;refType=RP&amp;originationContext=document&amp;vr=3.0&amp;rs=cblt1.0&amp;transitionType=DocumentItem&amp;contextData=(sc.Search)"/>
  <Relationship Id="r69"
    Type="http://schemas.openxmlformats.org/officeDocument/2006/relationships/hyperlink"
    TargetMode="External"
    Target="http://www.westlaw.com/Link/Document/FullText?findType=Y&amp;serNum=2000392699&amp;pubNum=602&amp;originatingDoc=I7c89d395910b11e0a34df17ea74c323f&amp;refType=RP&amp;originationContext=document&amp;vr=3.0&amp;rs=cblt1.0&amp;transitionType=DocumentItem&amp;contextData=(sc.Search)"/>
  <Relationship Id="r70"
    Type="http://schemas.openxmlformats.org/officeDocument/2006/relationships/image"
    Target="images/3.png"/>
  <Relationship Id="r71"
    Type="http://schemas.openxmlformats.org/officeDocument/2006/relationships/hyperlink"
    TargetMode="External"
    Target="https://1.next.westlaw.com/Link/RelatedInformation/Flag?documentGuid=Id4e3b2b0d97a11d99439b076ef9ec4de&amp;transitionType=InlineKeyCiteFlags&amp;originationContext=docHeaderFlag&amp;Rank=0&amp;ppcid=f26af4e52c8b4f6783a582aeca285244&amp;contextData=(sc.Search)"/>
  <Relationship Id="r72"
    Type="http://schemas.openxmlformats.org/officeDocument/2006/relationships/hyperlink"
    TargetMode="External"
    Target="http://www.westlaw.com/Link/Document/FullText?findType=Y&amp;serNum=2001140461&amp;pubNum=578&amp;originatingDoc=I7c89d395910b11e0a34df17ea74c323f&amp;refType=RP&amp;originationContext=document&amp;vr=3.0&amp;rs=cblt1.0&amp;transitionType=DocumentItem&amp;contextData=(sc.Search)"/>
  <Relationship Id="r73"
    Type="http://schemas.openxmlformats.org/officeDocument/2006/relationships/hyperlink"
    TargetMode="External"
    Target="http://www.westlaw.com/Link/Document/FullText?findType=Y&amp;serNum=2016385829&amp;pubNum=602&amp;originatingDoc=I7c89d395910b11e0a34df17ea74c323f&amp;refType=RP&amp;originationContext=document&amp;vr=3.0&amp;rs=cblt1.0&amp;transitionType=DocumentItem&amp;contextData=(sc.Search)"/>
  <Relationship Id="r74"
    Type="http://schemas.openxmlformats.org/officeDocument/2006/relationships/hyperlink"
    TargetMode="External"
    Target="http://www.westlaw.com/Link/Document/FullText?findType=Y&amp;serNum=2017347297&amp;pubNum=578&amp;originatingDoc=I7c89d395910b11e0a34df17ea74c323f&amp;refType=RP&amp;originationContext=document&amp;vr=3.0&amp;rs=cblt1.0&amp;transitionType=DocumentItem&amp;contextData=(sc.Search)"/>
  <Relationship Id="r75"
    Type="http://schemas.openxmlformats.org/officeDocument/2006/relationships/hyperlink"
    TargetMode="External"
    Target="http://www.westlaw.com/Link/Document/FullText?findType=Y&amp;serNum=2016385829&amp;pubNum=602&amp;originatingDoc=I7c89d395910b11e0a34df17ea74c323f&amp;refType=RP&amp;originationContext=document&amp;vr=3.0&amp;rs=cblt1.0&amp;transitionType=DocumentItem&amp;contextData=(sc.Search)"/>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7c89d395910b11e0a34df17ea74c323f_Targe"/>
      <w:bookmarkEnd w:id="1"/>
    </w:p>
    <w:bookmarkEnd w:id="0"/>
    <w:p>
      <w:pPr>
        <w:spacing w:before="0" w:after="0" w:line="275" w:lineRule="atLeast"/>
        <w:jc w:val="center"/>
      </w:pPr>
      <w:r>
        <w:rPr>
          <w:rFonts w:ascii="georgia" w:hAnsi="georgia"/>
          <w:color w:val="000000"/>
          <w:sz w:val="20"/>
        </w:rPr>
        <w:t>85 A.D.3d 429</w:t>
      </w:r>
    </w:p>
    <w:p>
      <w:pPr>
        <w:spacing w:before="0" w:after="0" w:line="275" w:lineRule="atLeast"/>
        <w:jc w:val="center"/>
      </w:pPr>
      <w:r>
        <w:rPr>
          <w:rFonts w:ascii="georgia" w:hAnsi="georgia"/>
          <w:color w:val="000000"/>
          <w:sz w:val="20"/>
        </w:rPr>
        <w:t>Supreme Court, Appellate Division, First Department, New York.</w:t>
      </w:r>
    </w:p>
    <w:p>
      <w:pPr>
        <w:spacing w:before="200" w:after="0" w:line="300" w:lineRule="atLeast"/>
        <w:ind w:left="100" w:right="100" w:firstLine="0"/>
        <w:jc w:val="center"/>
      </w:pPr>
      <w:r>
        <w:rPr>
          <w:rFonts w:ascii="georgia" w:hAnsi="georgia"/>
          <w:color w:val="252525"/>
          <w:sz w:val="20"/>
        </w:rPr>
        <w:t>NEW YORK STATE ASSEMBLYMAN, Adam Clayton Powell, IV, et al., Plaintiffs–Appellants,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CITY OF NEW YORK, et al., Defendants–Respondents.</w:t>
      </w:r>
    </w:p>
    <w:p>
      <w:pPr>
        <w:pBdr>
          <w:left w:val="none" w:space="8"/>
        </w:pBdr>
        <w:spacing w:before="200" w:after="0" w:line="275" w:lineRule="atLeast"/>
        <w:ind w:left="150" w:right="0" w:firstLine="0"/>
        <w:jc w:val="center"/>
      </w:pPr>
      <w:r>
        <w:rPr>
          <w:rFonts w:ascii="georgia" w:hAnsi="georgia"/>
          <w:color w:val="000000"/>
          <w:sz w:val="20"/>
        </w:rPr>
        <w:t>June 7, 2011.</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Assemblyman filed action seeking declaratory judgment that municipality could not proceed with construction and operation of solid waste marine transfer station (MTS) without authorization from New York State Legislature. The Supreme Court, New York County, </w:t>
      </w:r>
      <w:hyperlink r:id="r7">
        <w:r>
          <w:rPr>
            <w:rFonts w:ascii="Times New Roman" w:hAnsi="Times New Roman"/>
            <w:color w:val="000000"/>
            <w:sz w:val="20"/>
          </w:rPr>
          <w:t>Michael D. Stallman</w:t>
        </w:r>
      </w:hyperlink>
      <w:r>
        <w:rPr>
          <w:rFonts w:ascii="Times New Roman" w:hAnsi="Times New Roman"/>
          <w:color w:val="000000"/>
          <w:sz w:val="20"/>
        </w:rPr>
        <w:t>, J., granted summary judgment for municipality. Plaintiff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Appellate Division,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25412311_1">
        <w:r>
          <w:rPr>
            <w:rFonts w:ascii="Times New Roman" w:hAnsi="Times New Roman"/>
            <w:color w:val="000000"/>
            <w:sz w:val="20"/>
            <w:vertAlign w:val="superscript"/>
          </w:rPr>
          <w:t>[1]</w:t>
        </w:r>
      </w:hyperlink>
      <w:r>
        <w:rPr>
          <w:rFonts w:ascii="Times New Roman" w:hAnsi="Times New Roman"/>
          <w:color w:val="000000"/>
          <w:sz w:val="20"/>
        </w:rPr>
        <w:t xml:space="preserve"> Asphalt Green parcel did not constitute parkland;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5412311_1">
        <w:r>
          <w:rPr>
            <w:rFonts w:ascii="Times New Roman" w:hAnsi="Times New Roman"/>
            <w:color w:val="000000"/>
            <w:sz w:val="20"/>
            <w:vertAlign w:val="superscript"/>
          </w:rPr>
          <w:t>[2]</w:t>
        </w:r>
      </w:hyperlink>
      <w:r>
        <w:rPr>
          <w:rFonts w:ascii="Times New Roman" w:hAnsi="Times New Roman"/>
          <w:color w:val="000000"/>
          <w:sz w:val="20"/>
        </w:rPr>
        <w:t xml:space="preserve"> Bobby Wagner Walk parcel did not constitute parkland;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5412311_1">
        <w:r>
          <w:rPr>
            <w:rFonts w:ascii="Times New Roman" w:hAnsi="Times New Roman"/>
            <w:color w:val="000000"/>
            <w:sz w:val="20"/>
            <w:vertAlign w:val="superscript"/>
          </w:rPr>
          <w:t>[3]</w:t>
        </w:r>
      </w:hyperlink>
      <w:r>
        <w:rPr>
          <w:rFonts w:ascii="Times New Roman" w:hAnsi="Times New Roman"/>
          <w:color w:val="000000"/>
          <w:sz w:val="20"/>
        </w:rPr>
        <w:t xml:space="preserve"> reconstruction of access ramp and MTS would not have resulted in substantial intrusion on parkland for non-park purposes.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(5)</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25412311001_1"/>
      <w:bookmarkStart w:id="7" w:name="co_headnotesTable_1"/>
      <w:tr>
        <w:tblPrEx/>
        <w:trPr/>
        <w:tc>
          <w:tcPr>
            <w:tcMar>
              <w:left w:w="30" w:type="dxa"/>
              <w:right w:w="30" w:type="dxa"/>
            </w:tcMar>
            <w:vAlign w:val="top"/>
          </w:tcPr>
          <w:p>
            <w:pPr>
              <w:spacing w:before="0" w:after="0" w:line="275" w:lineRule="atLeast"/>
            </w:pPr>
            <w:bookmarkStart w:id="8" w:name="co_anchor_F12025412311_1"/>
            <w:bookmarkStart w:id="9" w:name="co_anchor_headNote_[1]_1"/>
            <w:hyperlink w:anchor="co_anchor_B12025412311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6"/>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Grants of rights to use public property</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11">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12">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13">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14">
              <w:r>
                <w:rPr>
                  <w:rFonts w:ascii="Times New Roman" w:hAnsi="Times New Roman"/>
                  <w:color w:val="000000"/>
                  <w:sz w:val="18"/>
                </w:rPr>
                <w:t>268k721(3)</w:t>
              </w:r>
            </w:hyperlink>
            <w:r>
              <w:rPr>
                <w:rFonts w:ascii="Times New Roman" w:hAnsi="Times New Roman"/>
                <w:color w:val="000000"/>
                <w:sz w:val="18"/>
              </w:rPr>
              <w:t>Grants of rights to use public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public trust doctrine, state legislative approval is required before parkland can be alienated or used for an extended period for non-park purposes.</w:t>
            </w:r>
          </w:p>
          <w:bookmarkStart w:id="10" w:name="co_headnoteId_2025412311001201711280408"/>
          <w:p>
            <w:pPr>
              <w:spacing w:before="200" w:after="0" w:line="275" w:lineRule="atLeast"/>
              <w:jc w:val="both"/>
            </w:pPr>
            <w:hyperlink r:id="r15">
              <w:r>
                <w:rPr>
                  <w:rFonts w:ascii="Times New Roman" w:hAnsi="Times New Roman"/>
                  <w:color w:val="000000"/>
                  <w:sz w:val="20"/>
                </w:rPr>
                <w:t>3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25412311002_1"/>
      <w:bookmarkStart w:id="12" w:name="co_headnotesTable_0_1"/>
      <w:tr>
        <w:tblPrEx/>
        <w:trPr/>
        <w:tc>
          <w:tcPr>
            <w:tcMar>
              <w:left w:w="30" w:type="dxa"/>
              <w:right w:w="30" w:type="dxa"/>
            </w:tcMar>
            <w:vAlign w:val="top"/>
          </w:tcPr>
          <w:p>
            <w:pPr>
              <w:spacing w:before="0" w:after="0" w:line="275" w:lineRule="atLeast"/>
            </w:pPr>
            <w:bookmarkStart w:id="13" w:name="co_anchor_F22025412311_1"/>
            <w:bookmarkStart w:id="14" w:name="co_anchor_headNote_[2]_1"/>
            <w:hyperlink w:anchor="co_anchor_B22025412311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Dedication</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6"/>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Intent to dedicate</w:t>
              </w:r>
            </w:hyperlink>
          </w:p>
          <w:p>
            <w:pPr>
              <w:pBdr>
                <w:bottom w:val="none" w:space="2"/>
              </w:pBdr>
              <w:spacing w:before="0" w:after="0" w:line="275" w:lineRule="atLeast"/>
            </w:pPr>
            <w:hyperlink r:id="r19">
              <w:r>
                <w:rPr>
                  <w:rFonts w:ascii="Times New Roman" w:hAnsi="Times New Roman"/>
                  <w:b/>
                  <w:color w:val="000000"/>
                  <w:sz w:val="20"/>
                </w:rPr>
                <w:t>Dedication</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6"/>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Acts Constituting Dedication</w:t>
              </w:r>
            </w:hyperlink>
          </w:p>
          <w:p>
            <w:pPr>
              <w:pBdr>
                <w:bottom w:val="none" w:space="2"/>
              </w:pBdr>
              <w:spacing w:before="0" w:after="0" w:line="275" w:lineRule="atLeast"/>
            </w:pPr>
            <w:hyperlink r:id="r21">
              <w:r>
                <w:rPr>
                  <w:rFonts w:ascii="Times New Roman" w:hAnsi="Times New Roman"/>
                  <w:b/>
                  <w:color w:val="000000"/>
                  <w:sz w:val="20"/>
                </w:rPr>
                <w:t>Dedication</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6"/>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User by public</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24">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25">
              <w:r>
                <w:rPr>
                  <w:rFonts w:ascii="Times New Roman" w:hAnsi="Times New Roman"/>
                  <w:color w:val="000000"/>
                  <w:sz w:val="18"/>
                </w:rPr>
                <w:t>119k15</w:t>
              </w:r>
            </w:hyperlink>
            <w:r>
              <w:rPr>
                <w:rFonts w:ascii="Times New Roman" w:hAnsi="Times New Roman"/>
                <w:color w:val="000000"/>
                <w:sz w:val="18"/>
              </w:rPr>
              <w:t>Intent to dedicate</w:t>
            </w:r>
          </w:p>
          <w:p>
            <w:pPr>
              <w:spacing w:before="0" w:after="0" w:line="255" w:lineRule="atLeast"/>
            </w:pPr>
            <w:hyperlink r:id="r26">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27">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28">
              <w:r>
                <w:rPr>
                  <w:rFonts w:ascii="Times New Roman" w:hAnsi="Times New Roman"/>
                  <w:color w:val="000000"/>
                  <w:sz w:val="18"/>
                </w:rPr>
                <w:t>119k16</w:t>
              </w:r>
            </w:hyperlink>
            <w:r>
              <w:rPr>
                <w:rFonts w:ascii="Times New Roman" w:hAnsi="Times New Roman"/>
                <w:color w:val="000000"/>
                <w:sz w:val="18"/>
              </w:rPr>
              <w:t>Acts Constituting Dedication</w:t>
            </w:r>
          </w:p>
          <w:p>
            <w:pPr>
              <w:spacing w:before="0" w:after="0" w:line="255" w:lineRule="atLeast"/>
            </w:pPr>
            <w:hyperlink r:id="r29">
              <w:r>
                <w:rPr>
                  <w:rFonts w:ascii="Times New Roman" w:hAnsi="Times New Roman"/>
                  <w:color w:val="000000"/>
                  <w:sz w:val="18"/>
                </w:rPr>
                <w:t>119k16.1</w:t>
              </w:r>
            </w:hyperlink>
            <w:r>
              <w:rPr>
                <w:rFonts w:ascii="Times New Roman" w:hAnsi="Times New Roman"/>
                <w:color w:val="000000"/>
                <w:sz w:val="18"/>
              </w:rPr>
              <w:t>In general</w:t>
            </w:r>
          </w:p>
          <w:p>
            <w:pPr>
              <w:spacing w:before="0" w:after="0" w:line="255" w:lineRule="atLeast"/>
            </w:pPr>
            <w:hyperlink r:id="r30">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31">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32">
              <w:r>
                <w:rPr>
                  <w:rFonts w:ascii="Times New Roman" w:hAnsi="Times New Roman"/>
                  <w:color w:val="000000"/>
                  <w:sz w:val="18"/>
                </w:rPr>
                <w:t>119k30</w:t>
              </w:r>
            </w:hyperlink>
            <w:r>
              <w:rPr>
                <w:rFonts w:ascii="Times New Roman" w:hAnsi="Times New Roman"/>
                <w:color w:val="000000"/>
                <w:sz w:val="18"/>
              </w:rPr>
              <w:t>Acceptance</w:t>
            </w:r>
          </w:p>
          <w:p>
            <w:pPr>
              <w:spacing w:before="0" w:after="0" w:line="255" w:lineRule="atLeast"/>
            </w:pPr>
            <w:hyperlink r:id="r33">
              <w:r>
                <w:rPr>
                  <w:rFonts w:ascii="Times New Roman" w:hAnsi="Times New Roman"/>
                  <w:color w:val="000000"/>
                  <w:sz w:val="18"/>
                </w:rPr>
                <w:t>119k37</w:t>
              </w:r>
            </w:hyperlink>
            <w:r>
              <w:rPr>
                <w:rFonts w:ascii="Times New Roman" w:hAnsi="Times New Roman"/>
                <w:color w:val="000000"/>
                <w:sz w:val="18"/>
              </w:rPr>
              <w:t>User by public</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parcel of land may constitute a park either expressly, such as by deed or legislative enactment, or by implication, such as by a continuous use of the parcel as a public park; such an implied dedication may exist when a municipality's acts and declarations manifest a present, fixed, and unequivocal intent to dedicate.</w:t>
            </w:r>
          </w:p>
          <w:bookmarkStart w:id="15" w:name="co_headnoteId_2025412311002201711280408"/>
          <w:p>
            <w:pPr>
              <w:spacing w:before="200" w:after="0" w:line="275" w:lineRule="atLeast"/>
              <w:jc w:val="both"/>
            </w:pPr>
            <w:hyperlink r:id="r34">
              <w:r>
                <w:rPr>
                  <w:rFonts w:ascii="Times New Roman" w:hAnsi="Times New Roman"/>
                  <w:color w:val="000000"/>
                  <w:sz w:val="20"/>
                </w:rPr>
                <w:t>4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25412311003_1"/>
      <w:bookmarkStart w:id="17" w:name="co_headnotesTable_1_1"/>
      <w:tr>
        <w:tblPrEx/>
        <w:trPr/>
        <w:tc>
          <w:tcPr>
            <w:tcMar>
              <w:left w:w="30" w:type="dxa"/>
              <w:right w:w="30" w:type="dxa"/>
            </w:tcMar>
            <w:vAlign w:val="top"/>
          </w:tcPr>
          <w:p>
            <w:pPr>
              <w:spacing w:before="0" w:after="0" w:line="275" w:lineRule="atLeast"/>
            </w:pPr>
            <w:bookmarkStart w:id="18" w:name="co_anchor_F32025412311_1"/>
            <w:bookmarkStart w:id="19" w:name="co_anchor_headNote_[3]_1"/>
            <w:hyperlink w:anchor="co_anchor_B32025412311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5">
              <w:r>
                <w:rPr>
                  <w:rFonts w:ascii="Times New Roman" w:hAnsi="Times New Roman"/>
                  <w:b/>
                  <w:color w:val="000000"/>
                  <w:sz w:val="20"/>
                </w:rPr>
                <w:t>Dedication</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6"/>
                          <a:srcRect/>
                          <a:stretch>
                            <a:fillRect/>
                          </a:stretch>
                        </p:blipFill>
                        <p:spPr>
                          <a:xfrm>
                            <a:off x="0" y="0"/>
                            <a:ext cx="133350" cy="76200"/>
                          </a:xfrm>
                          <a:prstGeom prst="rect"/>
                        </p:spPr>
                      </p:pic>
                    </a:graphicData>
                  </a:graphic>
                </wp:inline>
              </w:drawing>
            </w:r>
            <w:hyperlink r:id="r36">
              <w:r>
                <w:rPr>
                  <w:rFonts w:ascii="Times New Roman" w:hAnsi="Times New Roman"/>
                  <w:color w:val="000000"/>
                  <w:sz w:val="20"/>
                </w:rPr>
                <w:t>Acts or declarations to prevent implied dedication</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7">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38">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39">
              <w:r>
                <w:rPr>
                  <w:rFonts w:ascii="Times New Roman" w:hAnsi="Times New Roman"/>
                  <w:color w:val="000000"/>
                  <w:sz w:val="18"/>
                </w:rPr>
                <w:t>119k21</w:t>
              </w:r>
            </w:hyperlink>
            <w:r>
              <w:rPr>
                <w:rFonts w:ascii="Times New Roman" w:hAnsi="Times New Roman"/>
                <w:color w:val="000000"/>
                <w:sz w:val="18"/>
              </w:rPr>
              <w:t>Acts or declarations to prevent implied dedication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Parcel of land did not constitute parkland subject to public trust doctrine either expressly, or by implication, where it had been assigned to municipality under condition that land not be formally “mapped” as parkland, and it had been operated by non-municipal entity and public's access had been restricted 70 percent of time to those who paid substantial membership fees.</w:t>
            </w:r>
          </w:p>
          <w:bookmarkStart w:id="20" w:name="co_headnoteId_2025412311003201711280408"/>
          <w:p>
            <w:pPr>
              <w:spacing w:before="200" w:after="0" w:line="275" w:lineRule="atLeast"/>
              <w:jc w:val="both"/>
            </w:pPr>
            <w:hyperlink r:id="r40">
              <w:r>
                <w:rPr>
                  <w:rFonts w:ascii="Times New Roman" w:hAnsi="Times New Roman"/>
                  <w:color w:val="000000"/>
                  <w:sz w:val="20"/>
                </w:rPr>
                <w:t>1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25412311004_1"/>
      <w:bookmarkStart w:id="22" w:name="co_headnotesTable_2_1"/>
      <w:tr>
        <w:tblPrEx/>
        <w:trPr/>
        <w:tc>
          <w:tcPr>
            <w:tcMar>
              <w:left w:w="30" w:type="dxa"/>
              <w:right w:w="30" w:type="dxa"/>
            </w:tcMar>
            <w:vAlign w:val="top"/>
          </w:tcPr>
          <w:p>
            <w:pPr>
              <w:spacing w:before="0" w:after="0" w:line="275" w:lineRule="atLeast"/>
            </w:pPr>
            <w:bookmarkStart w:id="23" w:name="co_anchor_F42025412311_1"/>
            <w:bookmarkStart w:id="24" w:name="co_anchor_headNote_[4]_1"/>
            <w:hyperlink w:anchor="co_anchor_B42025412311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1">
              <w:r>
                <w:rPr>
                  <w:rFonts w:ascii="Times New Roman" w:hAnsi="Times New Roman"/>
                  <w:b/>
                  <w:color w:val="000000"/>
                  <w:sz w:val="20"/>
                </w:rPr>
                <w:t>Highways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6"/>
                          <a:srcRect/>
                          <a:stretch>
                            <a:fillRect/>
                          </a:stretch>
                        </p:blipFill>
                        <p:spPr>
                          <a:xfrm>
                            <a:off x="0" y="0"/>
                            <a:ext cx="133350" cy="76200"/>
                          </a:xfrm>
                          <a:prstGeom prst="rect"/>
                        </p:spPr>
                      </p:pic>
                    </a:graphicData>
                  </a:graphic>
                </wp:inline>
              </w:drawing>
            </w:r>
            <w:hyperlink r:id="r42">
              <w:r>
                <w:rPr>
                  <w:rFonts w:ascii="Times New Roman" w:hAnsi="Times New Roman"/>
                  <w:color w:val="000000"/>
                  <w:sz w:val="20"/>
                </w:rPr>
                <w:t>Protected areas;  parklands and historic sites</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3">
              <w:r>
                <w:rPr>
                  <w:rFonts w:ascii="Times New Roman" w:hAnsi="Times New Roman"/>
                  <w:color w:val="000000"/>
                  <w:sz w:val="18"/>
                </w:rPr>
                <w:t>200</w:t>
              </w:r>
            </w:hyperlink>
            <w:r>
              <w:rPr>
                <w:rFonts w:ascii="Times New Roman" w:hAnsi="Times New Roman"/>
                <w:color w:val="000000"/>
                <w:sz w:val="18"/>
              </w:rPr>
              <w:t>Highways</w:t>
            </w:r>
          </w:p>
          <w:p>
            <w:pPr>
              <w:spacing w:before="0" w:after="0" w:line="255" w:lineRule="atLeast"/>
            </w:pPr>
            <w:hyperlink r:id="r44">
              <w:r>
                <w:rPr>
                  <w:rFonts w:ascii="Times New Roman" w:hAnsi="Times New Roman"/>
                  <w:color w:val="000000"/>
                  <w:sz w:val="18"/>
                </w:rPr>
                <w:t>200VII</w:t>
              </w:r>
            </w:hyperlink>
            <w:r>
              <w:rPr>
                <w:rFonts w:ascii="Times New Roman" w:hAnsi="Times New Roman"/>
                <w:color w:val="000000"/>
                <w:sz w:val="18"/>
              </w:rPr>
              <w:t>Construction, Improvement, and Repair</w:t>
            </w:r>
          </w:p>
          <w:p>
            <w:pPr>
              <w:spacing w:before="0" w:after="0" w:line="255" w:lineRule="atLeast"/>
            </w:pPr>
            <w:hyperlink r:id="r45">
              <w:r>
                <w:rPr>
                  <w:rFonts w:ascii="Times New Roman" w:hAnsi="Times New Roman"/>
                  <w:color w:val="000000"/>
                  <w:sz w:val="18"/>
                </w:rPr>
                <w:t>200k103</w:t>
              </w:r>
            </w:hyperlink>
            <w:r>
              <w:rPr>
                <w:rFonts w:ascii="Times New Roman" w:hAnsi="Times New Roman"/>
                <w:color w:val="000000"/>
                <w:sz w:val="18"/>
              </w:rPr>
              <w:t>Mode and Plan of Construction or Improvement in General</w:t>
            </w:r>
          </w:p>
          <w:p>
            <w:pPr>
              <w:spacing w:before="0" w:after="0" w:line="255" w:lineRule="atLeast"/>
            </w:pPr>
            <w:hyperlink r:id="r46">
              <w:r>
                <w:rPr>
                  <w:rFonts w:ascii="Times New Roman" w:hAnsi="Times New Roman"/>
                  <w:color w:val="000000"/>
                  <w:sz w:val="18"/>
                </w:rPr>
                <w:t>200k103.2</w:t>
              </w:r>
            </w:hyperlink>
            <w:r>
              <w:rPr>
                <w:rFonts w:ascii="Times New Roman" w:hAnsi="Times New Roman"/>
                <w:color w:val="000000"/>
                <w:sz w:val="18"/>
              </w:rPr>
              <w:t>Protected areas;  parklands and historic sites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Parcel of land that was owned by Department of Transportation and that functioned primarily as thoroughfare did not constitute parkland subject to public trust doctrine either expressly, or by implication.</w:t>
            </w:r>
          </w:p>
        </w:tc>
      </w:tr>
    </w:tbl>
    <w:p>
      <w:pPr>
        <w:spacing w:before="0" w:after="0" w:line="240" w:lineRule="auto"/>
        <w:rPr>
          <w:sz w:val="20"/>
        </w:rPr>
      </w:pPr>
    </w:p>
    <w:tbl>
      <w:tblPr>
        <w:tblInd w:w="30" w:type="dxa"/>
        <w:tblLayout w:type="fixed"/>
      </w:tblPr>
      <w:tblGrid>
        <w:gridCol w:w="600"/>
        <w:gridCol w:w="4035"/>
      </w:tblGrid>
      <w:bookmarkStart w:id="25" w:name="co_headnoteId_2025412311004201711280408"/>
      <w:bookmarkStart w:id="26" w:name="co_anchor_2025412311005_1"/>
      <w:bookmarkStart w:id="27" w:name="co_headnotesTable_3_1"/>
      <w:tr>
        <w:tblPrEx/>
        <w:trPr/>
        <w:tc>
          <w:tcPr>
            <w:tcMar>
              <w:left w:w="30" w:type="dxa"/>
              <w:right w:w="30" w:type="dxa"/>
            </w:tcMar>
            <w:vAlign w:val="top"/>
          </w:tcPr>
          <w:p>
            <w:pPr>
              <w:spacing w:before="0" w:after="0" w:line="275" w:lineRule="atLeast"/>
            </w:pPr>
            <w:bookmarkStart w:id="28" w:name="co_anchor_F52025412311_1"/>
            <w:bookmarkStart w:id="29" w:name="co_anchor_headNote_[5]_1"/>
            <w:hyperlink w:anchor="co_anchor_B52025412311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7">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6"/>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Grants of rights to use public property</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9">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50">
              <w:r>
                <w:rPr>
                  <w:rFonts w:ascii="Times New Roman" w:hAnsi="Times New Roman"/>
                  <w:color w:val="000000"/>
                  <w:sz w:val="18"/>
                </w:rPr>
                <w:t>268XI</w:t>
              </w:r>
            </w:hyperlink>
            <w:r>
              <w:rPr>
                <w:rFonts w:ascii="Times New Roman" w:hAnsi="Times New Roman"/>
                <w:color w:val="000000"/>
                <w:sz w:val="18"/>
              </w:rPr>
              <w:t>Use and Regulation of Public Places, Property, and Works</w:t>
            </w:r>
          </w:p>
          <w:p>
            <w:pPr>
              <w:spacing w:before="0" w:after="0" w:line="255" w:lineRule="atLeast"/>
            </w:pPr>
            <w:hyperlink r:id="r51">
              <w:r>
                <w:rPr>
                  <w:rFonts w:ascii="Times New Roman" w:hAnsi="Times New Roman"/>
                  <w:color w:val="000000"/>
                  <w:sz w:val="18"/>
                </w:rPr>
                <w:t>268XI(C)</w:t>
              </w:r>
            </w:hyperlink>
            <w:r>
              <w:rPr>
                <w:rFonts w:ascii="Times New Roman" w:hAnsi="Times New Roman"/>
                <w:color w:val="000000"/>
                <w:sz w:val="18"/>
              </w:rPr>
              <w:t>Public Buildings, Parks, and Other Public Places and Property</w:t>
            </w:r>
          </w:p>
          <w:p>
            <w:pPr>
              <w:spacing w:before="0" w:after="0" w:line="255" w:lineRule="atLeast"/>
            </w:pPr>
            <w:hyperlink r:id="r52">
              <w:r>
                <w:rPr>
                  <w:rFonts w:ascii="Times New Roman" w:hAnsi="Times New Roman"/>
                  <w:color w:val="000000"/>
                  <w:sz w:val="18"/>
                </w:rPr>
                <w:t>268k721</w:t>
              </w:r>
            </w:hyperlink>
            <w:r>
              <w:rPr>
                <w:rFonts w:ascii="Times New Roman" w:hAnsi="Times New Roman"/>
                <w:color w:val="000000"/>
                <w:sz w:val="18"/>
              </w:rPr>
              <w:t>Parks and Public Squares and Places</w:t>
            </w:r>
          </w:p>
          <w:p>
            <w:pPr>
              <w:spacing w:before="0" w:after="0" w:line="255" w:lineRule="atLeast"/>
            </w:pPr>
            <w:hyperlink r:id="r53">
              <w:r>
                <w:rPr>
                  <w:rFonts w:ascii="Times New Roman" w:hAnsi="Times New Roman"/>
                  <w:color w:val="000000"/>
                  <w:sz w:val="18"/>
                </w:rPr>
                <w:t>268k721(3)</w:t>
              </w:r>
            </w:hyperlink>
            <w:r>
              <w:rPr>
                <w:rFonts w:ascii="Times New Roman" w:hAnsi="Times New Roman"/>
                <w:color w:val="000000"/>
                <w:sz w:val="18"/>
              </w:rPr>
              <w:t>Grants of rights to use public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Reconstruction of access ramp and solid waste marine transfer station (MTS) would not have resulted in substantial intrusion on parkland for non-park purposes, even if subject properties could be considered parks, since neither temporary loss of some storage space under existing access ramp nor minimal encroachment onto subject properties would substantially interfere with access to, or use of, facilities; construction was scheduled to mostly occur at night and last only 22 to 24 months overall, with only 11 months needed for demolition and reconstruction of access ramp.</w:t>
            </w:r>
          </w:p>
          <w:bookmarkStart w:id="30" w:name="co_headnoteId_2025412311005201711280408"/>
          <w:p>
            <w:pPr>
              <w:spacing w:before="200" w:after="0" w:line="275" w:lineRule="atLeast"/>
              <w:jc w:val="both"/>
            </w:pPr>
            <w:hyperlink r:id="r54">
              <w:r>
                <w:rPr>
                  <w:rFonts w:ascii="Times New Roman" w:hAnsi="Times New Roman"/>
                  <w:color w:val="000000"/>
                  <w:sz w:val="20"/>
                </w:rPr>
                <w:t>2 Cases that cite this headnote</w:t>
              </w:r>
            </w:hyperlink>
          </w:p>
          <w:bookmarkEnd w:id="30"/>
        </w:tc>
      </w:tr>
    </w:tbl>
    <w:p>
      <w:pPr>
        <w:pBdr>
          <w:top w:val="none" w:space="4"/>
        </w:pBdr>
        <w:spacing w:before="200" w:after="0" w:line="275" w:lineRule="atLeast"/>
        <w:jc w:val="both"/>
      </w:pPr>
      <w:bookmarkStart w:id="31" w:name="co_headnotesEnd_1"/>
      <w:bookmarkEnd w:id="31"/>
    </w:p>
    <w:bookmarkStart w:id="3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32"/>
    <w:p>
      <w:pPr>
        <w:spacing w:before="200" w:after="0" w:line="275" w:lineRule="atLeast"/>
        <w:jc w:val="both"/>
      </w:pPr>
      <w:bookmarkStart w:id="33" w:name="co_pp_sp_602_371_1"/>
      <w:r>
        <w:rPr>
          <w:rFonts w:ascii="Times New Roman" w:hAnsi="Times New Roman"/>
          <w:b/>
          <w:color w:val="000000"/>
          <w:sz w:val="20"/>
        </w:rPr>
        <w:t>**371</w:t>
      </w:r>
      <w:bookmarkEnd w:id="33"/>
      <w:r>
        <w:rPr>
          <w:rFonts w:ascii="Times New Roman" w:hAnsi="Times New Roman"/>
          <w:color w:val="000000"/>
          <w:sz w:val="20"/>
        </w:rPr>
        <w:t xml:space="preserve"> Schulte Roth &amp; Zabel LLP, New York (</w:t>
      </w:r>
      <w:hyperlink r:id="r55">
        <w:r>
          <w:rPr>
            <w:rFonts w:ascii="Times New Roman" w:hAnsi="Times New Roman"/>
            <w:color w:val="000000"/>
            <w:sz w:val="20"/>
          </w:rPr>
          <w:t>Howard Epstein</w:t>
        </w:r>
      </w:hyperlink>
      <w:r>
        <w:rPr>
          <w:rFonts w:ascii="Times New Roman" w:hAnsi="Times New Roman"/>
          <w:color w:val="000000"/>
          <w:sz w:val="20"/>
        </w:rPr>
        <w:t xml:space="preserve"> of counsel), for appellants.</w:t>
      </w:r>
    </w:p>
    <w:p>
      <w:pPr>
        <w:spacing w:before="200" w:after="0" w:line="275" w:lineRule="atLeast"/>
        <w:jc w:val="both"/>
      </w:pPr>
      <w:hyperlink r:id="r56">
        <w:r>
          <w:rPr>
            <w:rFonts w:ascii="Times New Roman" w:hAnsi="Times New Roman"/>
            <w:color w:val="000000"/>
            <w:sz w:val="20"/>
          </w:rPr>
          <w:t>Michael A. Cardozo</w:t>
        </w:r>
      </w:hyperlink>
      <w:r>
        <w:rPr>
          <w:rFonts w:ascii="Times New Roman" w:hAnsi="Times New Roman"/>
          <w:color w:val="000000"/>
          <w:sz w:val="20"/>
        </w:rPr>
        <w:t>, Corporation Counsel, New York (</w:t>
      </w:r>
      <w:hyperlink r:id="r57">
        <w:r>
          <w:rPr>
            <w:rFonts w:ascii="Times New Roman" w:hAnsi="Times New Roman"/>
            <w:color w:val="000000"/>
            <w:sz w:val="20"/>
          </w:rPr>
          <w:t>Jane L. Gordon</w:t>
        </w:r>
      </w:hyperlink>
      <w:r>
        <w:rPr>
          <w:rFonts w:ascii="Times New Roman" w:hAnsi="Times New Roman"/>
          <w:color w:val="000000"/>
          <w:sz w:val="20"/>
        </w:rPr>
        <w:t xml:space="preserve"> of counsel), for respondents.</w:t>
      </w:r>
    </w:p>
    <w:p>
      <w:pPr>
        <w:spacing w:before="0" w:after="0" w:line="275" w:lineRule="atLeast"/>
        <w:jc w:val="both"/>
      </w:pPr>
      <w:hyperlink r:id="r58">
        <w:r>
          <w:rPr>
            <w:rFonts w:ascii="Times New Roman" w:hAnsi="Times New Roman"/>
            <w:color w:val="000000"/>
            <w:sz w:val="20"/>
          </w:rPr>
          <w:t>ANDRIAS</w:t>
        </w:r>
      </w:hyperlink>
      <w:r>
        <w:rPr>
          <w:rFonts w:ascii="Times New Roman" w:hAnsi="Times New Roman"/>
          <w:color w:val="000000"/>
          <w:sz w:val="20"/>
        </w:rPr>
        <w:t xml:space="preserve">, J.P., </w:t>
      </w:r>
      <w:hyperlink r:id="r59">
        <w:r>
          <w:rPr>
            <w:rFonts w:ascii="Times New Roman" w:hAnsi="Times New Roman"/>
            <w:color w:val="000000"/>
            <w:sz w:val="20"/>
          </w:rPr>
          <w:t>SAXE</w:t>
        </w:r>
      </w:hyperlink>
      <w:r>
        <w:rPr>
          <w:rFonts w:ascii="Times New Roman" w:hAnsi="Times New Roman"/>
          <w:color w:val="000000"/>
          <w:sz w:val="20"/>
        </w:rPr>
        <w:t xml:space="preserve">, </w:t>
      </w:r>
      <w:hyperlink r:id="r60">
        <w:r>
          <w:rPr>
            <w:rFonts w:ascii="Times New Roman" w:hAnsi="Times New Roman"/>
            <w:color w:val="000000"/>
            <w:sz w:val="20"/>
          </w:rPr>
          <w:t>MOSKOWITZ</w:t>
        </w:r>
      </w:hyperlink>
      <w:r>
        <w:rPr>
          <w:rFonts w:ascii="Times New Roman" w:hAnsi="Times New Roman"/>
          <w:color w:val="000000"/>
          <w:sz w:val="20"/>
        </w:rPr>
        <w:t xml:space="preserve">, </w:t>
      </w:r>
      <w:hyperlink r:id="r61">
        <w:r>
          <w:rPr>
            <w:rFonts w:ascii="Times New Roman" w:hAnsi="Times New Roman"/>
            <w:color w:val="000000"/>
            <w:sz w:val="20"/>
          </w:rPr>
          <w:t>RICHTER</w:t>
        </w:r>
      </w:hyperlink>
      <w:r>
        <w:rPr>
          <w:rFonts w:ascii="Times New Roman" w:hAnsi="Times New Roman"/>
          <w:color w:val="000000"/>
          <w:sz w:val="20"/>
        </w:rPr>
        <w:t xml:space="preserve">, </w:t>
      </w:r>
      <w:hyperlink r:id="r62">
        <w:r>
          <w:rPr>
            <w:rFonts w:ascii="Times New Roman" w:hAnsi="Times New Roman"/>
            <w:color w:val="000000"/>
            <w:sz w:val="20"/>
          </w:rPr>
          <w:t>MANZANET–DANIELS</w:t>
        </w:r>
      </w:hyperlink>
      <w:r>
        <w:rPr>
          <w:rFonts w:ascii="Times New Roman" w:hAnsi="Times New Roman"/>
          <w:color w:val="000000"/>
          <w:sz w:val="20"/>
        </w:rPr>
        <w:t>, JJ.</w:t>
      </w:r>
    </w:p>
    <w:bookmarkStart w:id="34" w:name="co_opinion_1"/>
    <w:p>
      <w:pPr>
        <w:keepNext/>
        <w:keepLines/>
        <w:spacing w:before="200" w:after="0" w:line="275" w:lineRule="atLeast"/>
        <w:jc w:val="both"/>
      </w:pPr>
      <w:r>
        <w:rPr>
          <w:rFonts w:ascii="Times New Roman" w:hAnsi="Times New Roman"/>
          <w:b/>
          <w:color w:val="212121"/>
          <w:sz w:val="20"/>
        </w:rPr>
        <w:t>Opinion</w:t>
      </w:r>
    </w:p>
    <w:bookmarkEnd w:id="34"/>
    <w:bookmarkStart w:id="35" w:name="co_anchor_Id4872c449b7811eabea3f0dc9fb6"/>
    <w:bookmarkStart w:id="36" w:name="co_anchor_Id4872c469b7811eabea3f0dc9fb6"/>
    <w:p>
      <w:pPr>
        <w:spacing w:before="0" w:after="0" w:line="275" w:lineRule="atLeast"/>
        <w:jc w:val="both"/>
      </w:pPr>
      <w:bookmarkStart w:id="37" w:name="co_pp_sp_7049_429_1"/>
      <w:r>
        <w:rPr>
          <w:rFonts w:ascii="Times New Roman" w:hAnsi="Times New Roman"/>
          <w:b/>
          <w:color w:val="000000"/>
          <w:sz w:val="20"/>
        </w:rPr>
        <w:t>*429</w:t>
      </w:r>
      <w:bookmarkEnd w:id="37"/>
      <w:r>
        <w:rPr>
          <w:rFonts w:ascii="Times New Roman" w:hAnsi="Times New Roman"/>
          <w:color w:val="000000"/>
          <w:sz w:val="20"/>
        </w:rPr>
        <w:t xml:space="preserve"> Order and judgment (one paper), Supreme Court, New York County (Michael D. Stallman, J.), entered January 27, 2010, which granted defendants' motions for summary judgment, denied plaintiffs' cross motion for summary judgment, and declared that neither Asphalt Green nor Bobby Wagner Walk is subject to the public trust doctrine, and therefore, the City of New York is not required to obtain legislative approval before commencing demolition, construction or operation of an access ramp and marine waste transfer station located at East 91st Street in Manhattan, </w:t>
      </w:r>
      <w:bookmarkStart w:id="38" w:name="co_pp_sp_602_372_1"/>
      <w:r>
        <w:rPr>
          <w:rFonts w:ascii="Times New Roman" w:hAnsi="Times New Roman"/>
          <w:b/>
          <w:color w:val="000000"/>
          <w:sz w:val="20"/>
        </w:rPr>
        <w:t>**372</w:t>
      </w:r>
      <w:bookmarkEnd w:id="38"/>
      <w:r>
        <w:rPr>
          <w:rFonts w:ascii="Times New Roman" w:hAnsi="Times New Roman"/>
          <w:color w:val="000000"/>
          <w:sz w:val="20"/>
        </w:rPr>
        <w:t xml:space="preserve"> unanimously affirmed, without costs.</w:t>
      </w:r>
    </w:p>
    <w:bookmarkEnd w:id="36"/>
    <w:bookmarkEnd w:id="35"/>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9" w:name="co_pp_sp_7049_430_1"/>
      <w:r>
        <w:rPr>
          <w:rFonts w:ascii="Times New Roman" w:hAnsi="Times New Roman"/>
          <w:b/>
          <w:color w:val="000000"/>
          <w:sz w:val="20"/>
        </w:rPr>
        <w:t>*430</w:t>
      </w:r>
      <w:bookmarkEnd w:id="39"/>
      <w:r>
        <w:rPr>
          <w:rFonts w:ascii="Times New Roman" w:hAnsi="Times New Roman"/>
          <w:color w:val="000000"/>
          <w:sz w:val="20"/>
        </w:rPr>
        <w:t xml:space="preserve"> In October 2004, the City of New York announced a proposed Comprehensive Solid Waste Management Plan (SWMP), which would include the building of a new solid waste marine transfer station (MTS) on City-owned property at East 91st Street and the East River in Manhattan, the site of a former MTS that was last operated in 1999. The goal of the SWMP is to convert the City's existing MTSs to enable waste to be containerized on site, thereby making the waste suitable for out-of-City barge and rail export.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this action, plaintiffs seek a judgment declaring that defendants cannot proceed with the construction and operation of the East 91st Street MTS without authorization from the New York State Legislature.</w:t>
      </w:r>
      <w:bookmarkStart w:id="40" w:name="co_fnRef_B00112025412311_ID0EAIAE_1"/>
      <w:hyperlink w:anchor="co_footnote_B00112025412311_1">
        <w:r>
          <w:rPr>
            <w:rFonts w:ascii="Times New Roman" w:hAnsi="Times New Roman"/>
            <w:color w:val="000000"/>
            <w:sz w:val="16"/>
            <w:vertAlign w:val="superscript"/>
          </w:rPr>
          <w:t>1</w:t>
        </w:r>
      </w:hyperlink>
      <w:bookmarkEnd w:id="40"/>
      <w:r>
        <w:rPr>
          <w:rFonts w:ascii="Times New Roman" w:hAnsi="Times New Roman"/>
          <w:color w:val="000000"/>
          <w:sz w:val="20"/>
        </w:rPr>
        <w:t xml:space="preserve"> Plaintiffs maintain that because the project will encroach upon alleged parkland for non-park purposes, the public trust doctrine requires prior legislative approval of the plan. In particular, plaintiffs contend that the demolition and reconstruction of the MTS, including an access ramp leading to it, will constitute alienation of the Asphalt Green sports center and Bobby Wagner Walk, a pedestrian thoroughfare along the East River. According to plaintiffs, Asphalt Green will lose storage area beneath the current access ramp during the construction period, and the construction and operation of the MTS will diminish the public's use and enjoyment of both areas.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Both sides sought summary judgment, and in an order entered January 27, 2010, the motion court granted defendants' motions and denied plaintiffs' cross motion. The court concluded that neither Asphalt Green nor Bobby Wagner Walk is a dedicated parkland subject to the public trust doctrine. Alternatively, the court found that even if the areas were parklands, the City's plan would not result in a substantial intrusion on the lands so as to implicate the public trust doctrine. Accordingly, the court declared that the City was not required to obtain legislative approval before commencing demolition, construction or operation of the MTS and access ramp. We now affirm.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25412311_1">
        <w:r>
          <w:rPr>
            <w:rFonts w:ascii="Times New Roman" w:hAnsi="Times New Roman"/>
            <w:b/>
            <w:color w:val="000000"/>
            <w:sz w:val="20"/>
            <w:bdr w:val="none" w:space="2"/>
            <w:vertAlign w:val="superscript"/>
          </w:rPr>
          <w:t>[1]</w:t>
        </w:r>
      </w:hyperlink>
      <w:bookmarkStart w:id="41" w:name="co_anchor_B12025412311_1"/>
      <w:bookmarkEnd w:id="41"/>
      <w:r>
        <w:rPr>
          <w:rFonts w:ascii="Times New Roman" w:hAnsi="Times New Roman"/>
          <w:color w:val="000000"/>
          <w:sz w:val="20"/>
        </w:rPr>
        <w:t xml:space="preserve"> </w:t>
      </w:r>
      <w:hyperlink w:anchor="co_anchor_F22025412311_1">
        <w:r>
          <w:rPr>
            <w:rFonts w:ascii="Times New Roman" w:hAnsi="Times New Roman"/>
            <w:b/>
            <w:color w:val="000000"/>
            <w:sz w:val="20"/>
            <w:bdr w:val="none" w:space="2"/>
            <w:vertAlign w:val="superscript"/>
          </w:rPr>
          <w:t>[2]</w:t>
        </w:r>
      </w:hyperlink>
      <w:bookmarkStart w:id="42" w:name="co_anchor_B22025412311_1"/>
      <w:bookmarkEnd w:id="42"/>
      <w:r>
        <w:rPr>
          <w:rFonts w:ascii="Times New Roman" w:hAnsi="Times New Roman"/>
          <w:color w:val="000000"/>
          <w:sz w:val="20"/>
        </w:rPr>
        <w:t xml:space="preserve"> Under the public trust doctrine, State legislative approval is required before parkland can be alienated or used for an </w:t>
      </w:r>
      <w:bookmarkStart w:id="43" w:name="co_pp_sp_7049_431_1"/>
      <w:r>
        <w:rPr>
          <w:rFonts w:ascii="Times New Roman" w:hAnsi="Times New Roman"/>
          <w:b/>
          <w:color w:val="000000"/>
          <w:sz w:val="20"/>
        </w:rPr>
        <w:t>*431</w:t>
      </w:r>
      <w:bookmarkEnd w:id="43"/>
      <w:r>
        <w:rPr>
          <w:rFonts w:ascii="Times New Roman" w:hAnsi="Times New Roman"/>
          <w:color w:val="000000"/>
          <w:sz w:val="20"/>
        </w:rPr>
        <w:t xml:space="preserve"> extended period for non-park purposes </w:t>
      </w:r>
      <w:hyperlink r:id="r63">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70"/>
                      <a:srcRect/>
                      <a:stretch>
                        <a:fillRect/>
                      </a:stretch>
                    </p:blipFill>
                    <p:spPr>
                      <a:xfrm>
                        <a:off x="0" y="0"/>
                        <a:ext cx="161925" cy="161925"/>
                      </a:xfrm>
                      <a:prstGeom prst="rect"/>
                    </p:spPr>
                  </p:pic>
                </a:graphicData>
              </a:graphic>
            </wp:inline>
          </w:drawing>
        </w:r>
      </w:hyperlink>
      <w:hyperlink r:id="r64">
        <w:r>
          <w:rPr>
            <w:rFonts w:ascii="Times New Roman" w:hAnsi="Times New Roman"/>
            <w:color w:val="000000"/>
            <w:sz w:val="20"/>
          </w:rPr>
          <w:t>(</w:t>
        </w:r>
        <w:r>
          <w:rPr>
            <w:rFonts w:ascii="Times New Roman" w:hAnsi="Times New Roman"/>
            <w:i/>
            <w:color w:val="000000"/>
            <w:sz w:val="20"/>
          </w:rPr>
          <w:t>Friends of Van Cortlandt Park v. City of New York,</w:t>
        </w:r>
        <w:r>
          <w:rPr>
            <w:rFonts w:ascii="Times New Roman" w:hAnsi="Times New Roman"/>
            <w:color w:val="000000"/>
            <w:sz w:val="20"/>
          </w:rPr>
          <w:t xml:space="preserve"> 95 N.Y.2d 623, 630, 727 N.Y.S.2d 2, 750 N.E.2d 1050 [2001] ).</w:t>
        </w:r>
      </w:hyperlink>
      <w:r>
        <w:rPr>
          <w:rFonts w:ascii="Times New Roman" w:hAnsi="Times New Roman"/>
          <w:color w:val="000000"/>
          <w:sz w:val="20"/>
        </w:rPr>
        <w:t xml:space="preserve"> A parcel of land may constitute a park either expressly, such as by deed or legislative enactment, or by implication, such as by a continuous use of the parcel as a public park (</w:t>
      </w:r>
      <w:hyperlink r:id="r65">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70"/>
                      <a:srcRect/>
                      <a:stretch>
                        <a:fillRect/>
                      </a:stretch>
                    </p:blipFill>
                    <p:spPr>
                      <a:xfrm>
                        <a:off x="0" y="0"/>
                        <a:ext cx="161925" cy="161925"/>
                      </a:xfrm>
                      <a:prstGeom prst="rect"/>
                    </p:spPr>
                  </p:pic>
                </a:graphicData>
              </a:graphic>
            </wp:inline>
          </w:drawing>
        </w:r>
      </w:hyperlink>
      <w:hyperlink r:id="r66">
        <w:r>
          <w:rPr>
            <w:rFonts w:ascii="Times New Roman" w:hAnsi="Times New Roman"/>
            <w:i/>
            <w:color w:val="000000"/>
            <w:sz w:val="20"/>
          </w:rPr>
          <w:t>Matter of Angiolillo v. Town of Greenburgh,</w:t>
        </w:r>
        <w:r>
          <w:rPr>
            <w:rFonts w:ascii="Times New Roman" w:hAnsi="Times New Roman"/>
            <w:color w:val="000000"/>
            <w:sz w:val="20"/>
          </w:rPr>
          <w:t xml:space="preserve"> 290 A.D.2d 1, 10–11, 735 N.Y.S.2d 66 [2001],</w:t>
        </w:r>
      </w:hyperlink>
      <w:r>
        <w:rPr>
          <w:rFonts w:ascii="Times New Roman" w:hAnsi="Times New Roman"/>
          <w:color w:val="000000"/>
          <w:sz w:val="20"/>
        </w:rPr>
        <w:t xml:space="preserve"> </w:t>
      </w:r>
      <w:r>
        <w:rPr>
          <w:rFonts w:ascii="Times New Roman" w:hAnsi="Times New Roman"/>
          <w:i/>
          <w:color w:val="000000"/>
          <w:sz w:val="20"/>
        </w:rPr>
        <w:t>lv. denied</w:t>
      </w:r>
      <w:r>
        <w:rPr>
          <w:rFonts w:ascii="Times New Roman" w:hAnsi="Times New Roman"/>
          <w:color w:val="000000"/>
          <w:sz w:val="20"/>
        </w:rPr>
        <w:t xml:space="preserve"> </w:t>
      </w:r>
      <w:hyperlink r:id="r67">
        <w:r>
          <w:rPr>
            <w:rFonts w:ascii="Times New Roman" w:hAnsi="Times New Roman"/>
            <w:color w:val="000000"/>
            <w:sz w:val="20"/>
          </w:rPr>
          <w:t>98 N.Y.2d 602, 744 N.Y.S.2d 762, 771 N.E.2d 835 [2002];</w:t>
        </w:r>
      </w:hyperlink>
      <w:r>
        <w:rPr>
          <w:rFonts w:ascii="Times New Roman" w:hAnsi="Times New Roman"/>
          <w:color w:val="000000"/>
          <w:sz w:val="20"/>
        </w:rPr>
        <w:t xml:space="preserve"> </w:t>
      </w:r>
      <w:hyperlink r:id="r68">
        <w:r>
          <w:rPr>
            <w:rFonts w:ascii="Times New Roman" w:hAnsi="Times New Roman"/>
            <w:i/>
            <w:color w:val="000000"/>
            <w:sz w:val="20"/>
          </w:rPr>
          <w:t>Matter of Lazore v. Board of Trustees of Vil. of Massena,</w:t>
        </w:r>
        <w:r>
          <w:rPr>
            <w:rFonts w:ascii="Times New Roman" w:hAnsi="Times New Roman"/>
            <w:color w:val="000000"/>
            <w:sz w:val="20"/>
          </w:rPr>
          <w:t xml:space="preserve"> 191 A.D.2d 764, 765, 594 N.Y.S.2d 400 [1993] ).</w:t>
        </w:r>
      </w:hyperlink>
      <w:r>
        <w:rPr>
          <w:rFonts w:ascii="Times New Roman" w:hAnsi="Times New Roman"/>
          <w:color w:val="000000"/>
          <w:sz w:val="20"/>
        </w:rPr>
        <w:t xml:space="preserve"> Such an implied dedication may exist “when a municipality's acts and declarations manifest a present, fixed, and unequivocal intent to dedicate” </w:t>
      </w:r>
      <w:hyperlink r:id="r69">
        <w:r>
          <w:rPr>
            <w:rFonts w:ascii="Times New Roman" w:hAnsi="Times New Roman"/>
            <w:color w:val="000000"/>
            <w:sz w:val="20"/>
          </w:rPr>
          <w:t>(</w:t>
        </w:r>
        <w:r>
          <w:rPr>
            <w:rFonts w:ascii="Times New Roman" w:hAnsi="Times New Roman"/>
            <w:i/>
            <w:color w:val="000000"/>
            <w:sz w:val="20"/>
          </w:rPr>
          <w:t>Riverview Partners v. City of Peekskill,</w:t>
        </w:r>
        <w:r>
          <w:rPr>
            <w:rFonts w:ascii="Times New Roman" w:hAnsi="Times New Roman"/>
            <w:color w:val="000000"/>
            <w:sz w:val="20"/>
          </w:rPr>
          <w:t xml:space="preserve"> 273 A.D.2d 455, 455, 710 N.Y.S.2d 601 [2000] ).</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25412311_1">
        <w:r>
          <w:rPr>
            <w:rFonts w:ascii="Times New Roman" w:hAnsi="Times New Roman"/>
            <w:b/>
            <w:color w:val="000000"/>
            <w:sz w:val="20"/>
            <w:bdr w:val="none" w:space="2"/>
            <w:vertAlign w:val="superscript"/>
          </w:rPr>
          <w:t>[3]</w:t>
        </w:r>
      </w:hyperlink>
      <w:bookmarkStart w:id="44" w:name="co_anchor_B32025412311_1"/>
      <w:bookmarkEnd w:id="44"/>
      <w:r>
        <w:rPr>
          <w:rFonts w:ascii="Times New Roman" w:hAnsi="Times New Roman"/>
          <w:color w:val="000000"/>
          <w:sz w:val="20"/>
        </w:rPr>
        <w:t xml:space="preserve"> </w:t>
      </w:r>
      <w:hyperlink w:anchor="co_anchor_F42025412311_1">
        <w:r>
          <w:rPr>
            <w:rFonts w:ascii="Times New Roman" w:hAnsi="Times New Roman"/>
            <w:b/>
            <w:color w:val="000000"/>
            <w:sz w:val="20"/>
            <w:bdr w:val="none" w:space="2"/>
            <w:vertAlign w:val="superscript"/>
          </w:rPr>
          <w:t>[4]</w:t>
        </w:r>
      </w:hyperlink>
      <w:bookmarkStart w:id="45" w:name="co_anchor_B42025412311_1"/>
      <w:bookmarkEnd w:id="45"/>
      <w:r>
        <w:rPr>
          <w:rFonts w:ascii="Times New Roman" w:hAnsi="Times New Roman"/>
          <w:color w:val="000000"/>
          <w:sz w:val="20"/>
        </w:rPr>
        <w:t xml:space="preserve"> The motion court properly concluded that Asphalt Green and Bobby </w:t>
      </w:r>
      <w:bookmarkStart w:id="46" w:name="co_pp_sp_602_373_1"/>
      <w:r>
        <w:rPr>
          <w:rFonts w:ascii="Times New Roman" w:hAnsi="Times New Roman"/>
          <w:b/>
          <w:color w:val="000000"/>
          <w:sz w:val="20"/>
        </w:rPr>
        <w:t>**373</w:t>
      </w:r>
      <w:bookmarkEnd w:id="46"/>
      <w:r>
        <w:rPr>
          <w:rFonts w:ascii="Times New Roman" w:hAnsi="Times New Roman"/>
          <w:color w:val="000000"/>
          <w:sz w:val="20"/>
        </w:rPr>
        <w:t xml:space="preserve"> Wagner Walk do not constitute parkland subject to the public trust doctrine. Neither area has ever been mapped or expressly dedicated as a public park. Nor are these properties parks dedicated by implication. Asphalt Green was not acquired by the City for park purposes. Indeed, a 1989 assignment of a part of Asphalt Green to the Department of Parks includes a condition that the land not be formally “mapped” as parkland, which shows an unambiguous intent that the site not be dedicated as a public park. Moreover, Asphalt Green is operated by a non-City entity and the public's access is restricted 70 percent of the time to those who pay substantial membership fees. As for Bobby Wagner Walk, the Department of Transportation owns the property, and it functions primarily as a thoroughfare, which distinguishes it from a park. Thus, plaintiffs cannot establish an unequivocal intent to dedicate these areas as public parkland.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5412311_1">
        <w:r>
          <w:rPr>
            <w:rFonts w:ascii="Times New Roman" w:hAnsi="Times New Roman"/>
            <w:b/>
            <w:color w:val="000000"/>
            <w:sz w:val="20"/>
            <w:bdr w:val="none" w:space="2"/>
            <w:vertAlign w:val="superscript"/>
          </w:rPr>
          <w:t>[5]</w:t>
        </w:r>
      </w:hyperlink>
      <w:bookmarkStart w:id="47" w:name="co_anchor_B52025412311_1"/>
      <w:bookmarkEnd w:id="47"/>
      <w:r>
        <w:rPr>
          <w:rFonts w:ascii="Times New Roman" w:hAnsi="Times New Roman"/>
          <w:color w:val="000000"/>
          <w:sz w:val="20"/>
        </w:rPr>
        <w:t xml:space="preserve"> Even if the subject properties could be considered parks, the reconstruction of the access ramp and MTS would not result in a “substantial intrusion on parkland for non-park purposes” </w:t>
      </w:r>
      <w:hyperlink r:id="r71">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70"/>
                      <a:srcRect/>
                      <a:stretch>
                        <a:fillRect/>
                      </a:stretch>
                    </p:blipFill>
                    <p:spPr>
                      <a:xfrm>
                        <a:off x="0" y="0"/>
                        <a:ext cx="161925" cy="161925"/>
                      </a:xfrm>
                      <a:prstGeom prst="rect"/>
                    </p:spPr>
                  </p:pic>
                </a:graphicData>
              </a:graphic>
            </wp:inline>
          </w:drawing>
        </w:r>
      </w:hyperlink>
      <w:hyperlink r:id="r72">
        <w:r>
          <w:rPr>
            <w:rFonts w:ascii="Times New Roman" w:hAnsi="Times New Roman"/>
            <w:color w:val="000000"/>
            <w:sz w:val="20"/>
          </w:rPr>
          <w:t>(</w:t>
        </w:r>
        <w:r>
          <w:rPr>
            <w:rFonts w:ascii="Times New Roman" w:hAnsi="Times New Roman"/>
            <w:i/>
            <w:color w:val="000000"/>
            <w:sz w:val="20"/>
          </w:rPr>
          <w:t>Friends of Van Cortlandt Park,</w:t>
        </w:r>
        <w:r>
          <w:rPr>
            <w:rFonts w:ascii="Times New Roman" w:hAnsi="Times New Roman"/>
            <w:color w:val="000000"/>
            <w:sz w:val="20"/>
          </w:rPr>
          <w:t xml:space="preserve"> 95 N.Y.2d at 630, 727 N.Y.S.2d 2, 750 N.E.2d 1050).</w:t>
        </w:r>
      </w:hyperlink>
      <w:r>
        <w:rPr>
          <w:rFonts w:ascii="Times New Roman" w:hAnsi="Times New Roman"/>
          <w:color w:val="000000"/>
          <w:sz w:val="20"/>
        </w:rPr>
        <w:t xml:space="preserve"> Neither the temporary loss of some storage space under the existing access ramp nor the minimal encroachment onto the subject properties will substantially interfere with access to or use of the facilities. Furthermore, the construction is scheduled to mostly occur at night and last only 22 to 24 months overall, with only 11 months needed for demolition and reconstruction of the access ramp.</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have considered plaintiffs' remaining arguments and find them unavailing.</w:t>
      </w:r>
    </w:p>
    <w:p>
      <w:pPr>
        <w:spacing w:before="0" w:after="0" w:line="275" w:lineRule="atLeast"/>
        <w:jc w:val="both"/>
      </w:pPr>
      <w:r>
        <w:rPr>
          <w:rFonts w:ascii="Times New Roman" w:hAnsi="Times New Roman"/>
          <w:color w:val="000000"/>
          <w:sz w:val="20"/>
        </w:rPr>
        <w:t> </w:t>
      </w:r>
    </w:p>
    <w:bookmarkStart w:id="48" w:name="co_allCitations_1"/>
    <w:p>
      <w:pPr>
        <w:keepNext/>
        <w:keepLines/>
        <w:spacing w:before="200" w:after="0" w:line="275" w:lineRule="atLeast"/>
        <w:jc w:val="both"/>
      </w:pPr>
      <w:r>
        <w:rPr>
          <w:rFonts w:ascii="Times New Roman" w:hAnsi="Times New Roman"/>
          <w:b/>
          <w:color w:val="212121"/>
          <w:sz w:val="20"/>
        </w:rPr>
        <w:t>All Citations</w:t>
      </w:r>
    </w:p>
    <w:bookmarkEnd w:id="48"/>
    <w:p>
      <w:pPr>
        <w:spacing w:before="200" w:after="0" w:line="275" w:lineRule="atLeast"/>
        <w:jc w:val="both"/>
      </w:pPr>
      <w:r>
        <w:rPr>
          <w:rFonts w:ascii="Times New Roman" w:hAnsi="Times New Roman"/>
          <w:color w:val="000000"/>
          <w:sz w:val="20"/>
        </w:rPr>
        <w:t>85 A.D.3d 429, 924 N.Y.S.2d 370, 2011 N.Y. Slip Op. 04727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49" w:name="co_footnote_B00112025412311_1"/>
            <w:hyperlink w:anchor="co_fnRef_B00112025412311_ID0EAIAE_1">
              <w:r>
                <w:rPr>
                  <w:rFonts w:ascii="Times New Roman" w:hAnsi="Times New Roman"/>
                  <w:color w:val="000000"/>
                  <w:sz w:val="20"/>
                  <w:vertAlign w:val="superscript"/>
                </w:rPr>
                <w:t>1</w:t>
              </w:r>
            </w:hyperlink>
            <w:bookmarkEnd w:id="49"/>
          </w:p>
        </w:tc>
        <w:tc>
          <w:tcPr>
            <w:vAlign w:val="top"/>
          </w:tcPr>
          <w:p>
            <w:pPr>
              <w:spacing w:before="0" w:after="0" w:line="275" w:lineRule="atLeast"/>
              <w:jc w:val="both"/>
            </w:pPr>
            <w:r>
              <w:rPr>
                <w:rFonts w:ascii="Times New Roman" w:hAnsi="Times New Roman"/>
                <w:color w:val="000000"/>
                <w:sz w:val="20"/>
              </w:rPr>
              <w:t>This Court previously affirmed a judgment dismissing a separate CPLR article 78 proceeding brought by a community group challenging the City's plan to build the East 91st Street MTS (</w:t>
            </w:r>
            <w:hyperlink r:id="r73">
              <w:r>
                <w:rPr>
                  <w:rFonts w:ascii="Times New Roman" w:hAnsi="Times New Roman"/>
                  <w:i/>
                  <w:color w:val="000000"/>
                  <w:sz w:val="20"/>
                </w:rPr>
                <w:t>Association for Community Reform Now [“ACORN”] v. Bloomberg,</w:t>
              </w:r>
              <w:r>
                <w:rPr>
                  <w:rFonts w:ascii="Times New Roman" w:hAnsi="Times New Roman"/>
                  <w:color w:val="000000"/>
                  <w:sz w:val="20"/>
                </w:rPr>
                <w:t xml:space="preserve"> 52 A.D.3d 426, 861 N.Y.S.2d 325 [2008],</w:t>
              </w:r>
            </w:hyperlink>
            <w:r>
              <w:rPr>
                <w:rFonts w:ascii="Times New Roman" w:hAnsi="Times New Roman"/>
                <w:color w:val="000000"/>
                <w:sz w:val="20"/>
              </w:rPr>
              <w:t xml:space="preserve"> </w:t>
            </w:r>
            <w:r>
              <w:rPr>
                <w:rFonts w:ascii="Times New Roman" w:hAnsi="Times New Roman"/>
                <w:i/>
                <w:color w:val="000000"/>
                <w:sz w:val="20"/>
              </w:rPr>
              <w:t>lv. denied</w:t>
            </w:r>
            <w:r>
              <w:rPr>
                <w:rFonts w:ascii="Times New Roman" w:hAnsi="Times New Roman"/>
                <w:color w:val="000000"/>
                <w:sz w:val="20"/>
              </w:rPr>
              <w:t xml:space="preserve"> </w:t>
            </w:r>
            <w:hyperlink r:id="r74">
              <w:r>
                <w:rPr>
                  <w:rFonts w:ascii="Times New Roman" w:hAnsi="Times New Roman"/>
                  <w:color w:val="000000"/>
                  <w:sz w:val="20"/>
                </w:rPr>
                <w:t>11 N.Y.3d 707, 868 N.Y.S.2d 599, 897 N.E.2d 1083 [2008] ).</w:t>
              </w:r>
            </w:hyperlink>
            <w:r>
              <w:rPr>
                <w:rFonts w:ascii="Times New Roman" w:hAnsi="Times New Roman"/>
                <w:color w:val="000000"/>
                <w:sz w:val="20"/>
              </w:rPr>
              <w:t xml:space="preserve"> We rejected various challenges to the project and found that the proposed MTS would not cause any significant changes to the existing land uses or overall character of the neighborhood </w:t>
            </w:r>
            <w:hyperlink r:id="r75">
              <w:r>
                <w:rPr>
                  <w:rFonts w:ascii="Times New Roman" w:hAnsi="Times New Roman"/>
                  <w:color w:val="000000"/>
                  <w:sz w:val="20"/>
                </w:rPr>
                <w:t>(</w:t>
              </w:r>
              <w:r>
                <w:rPr>
                  <w:rFonts w:ascii="Times New Roman" w:hAnsi="Times New Roman"/>
                  <w:i/>
                  <w:color w:val="000000"/>
                  <w:sz w:val="20"/>
                </w:rPr>
                <w:t>id.</w:t>
              </w:r>
              <w:r>
                <w:rPr>
                  <w:rFonts w:ascii="Times New Roman" w:hAnsi="Times New Roman"/>
                  <w:color w:val="000000"/>
                  <w:sz w:val="20"/>
                </w:rPr>
                <w:t xml:space="preserve"> at 427, 861 N.Y.S.2d 325).</w:t>
              </w:r>
            </w:hyperlink>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21" name="Picture 0" descr="Westlaw Logo"/>
                <a:graphic>
                  <a:graphicData uri="http://schemas.openxmlformats.org/drawingml/2006/picture">
                    <p:pic>
                      <p:nvPicPr>
                        <p:cNvPr id="2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New York State Assemblyman v. City of New York, 85 A.D.3d 429 (2011)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924 N.Y.S.2d 370, 2011 N.Y. Slip Op. 04727</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